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165C" w14:textId="7B199518" w:rsidR="006408DE" w:rsidRPr="00A76C3C" w:rsidRDefault="00053DC5" w:rsidP="007138B2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</w:pPr>
      <w:r w:rsidRPr="00A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  <w:t xml:space="preserve">Lista de verificación </w:t>
      </w:r>
      <w:r w:rsidR="00B85A9A" w:rsidRPr="00A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  <w:t>de</w:t>
      </w:r>
      <w:r w:rsidRPr="00A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  <w:t xml:space="preserve"> </w:t>
      </w:r>
      <w:r w:rsidRPr="00081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  <w:t>Conformidad</w:t>
      </w:r>
      <w:r w:rsidRPr="00A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  <w:t xml:space="preserve"> con </w:t>
      </w:r>
      <w:r w:rsidR="006408DE" w:rsidRPr="00A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  <w:t>ODI</w:t>
      </w:r>
      <w:r w:rsidRPr="00A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CL"/>
        </w:rPr>
        <w:t>: Biblioteca</w:t>
      </w:r>
    </w:p>
    <w:p w14:paraId="31178C95" w14:textId="57112509" w:rsidR="00053DC5" w:rsidRPr="00A76C3C" w:rsidRDefault="00053DC5" w:rsidP="00EB0D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Se </w:t>
      </w:r>
      <w:r w:rsidR="003F3A11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invita</w:t>
      </w:r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a las bibliotecas a tomar medidas específicas para </w:t>
      </w:r>
      <w:r w:rsidR="00FF4B9F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declar</w:t>
      </w:r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ar su conformidad con NISO RP-19-2020, las prácticas recomendadas de la </w:t>
      </w:r>
      <w:hyperlink r:id="rId8" w:history="1">
        <w:r w:rsidRPr="00A76C3C"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CL"/>
          </w:rPr>
          <w:t>Iniciativa de Descubrimiento Abierto</w:t>
        </w:r>
      </w:hyperlink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de NISO. Estas medidas son realizadas voluntariamente por cada organización, </w:t>
      </w:r>
      <w:r w:rsidR="00FF4B9F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como</w:t>
      </w:r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un esfuerzo por </w:t>
      </w:r>
      <w:r w:rsidR="00B85A9A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mejor</w:t>
      </w:r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ar la transparencia y comunicaciones en torno a los servicios de descubrimiento</w:t>
      </w:r>
      <w:r w:rsidR="007B5262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de bibliotecas</w:t>
      </w:r>
      <w:r w:rsidR="00390747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</w:t>
      </w:r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preindexados o a </w:t>
      </w:r>
      <w:r w:rsidR="00390747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“</w:t>
      </w:r>
      <w:r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escala web"</w:t>
      </w:r>
      <w:r w:rsidR="00B85A9A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. </w:t>
      </w:r>
      <w:bookmarkStart w:id="0" w:name="_Hlk94265413"/>
      <w:r w:rsidR="00B85A9A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La Lista de verificación de conformidad </w:t>
      </w:r>
      <w:r w:rsidR="007B5262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con</w:t>
      </w:r>
      <w:r w:rsidR="00B85A9A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ODI</w:t>
      </w:r>
      <w:r w:rsidR="00DD5839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, </w:t>
      </w:r>
      <w:r w:rsidR="00B85A9A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a continuación</w:t>
      </w:r>
      <w:r w:rsidR="00DD5839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,</w:t>
      </w:r>
      <w:r w:rsidR="00B85A9A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se creó para </w:t>
      </w:r>
      <w:r w:rsidR="00CC6EA2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habilitar </w:t>
      </w:r>
      <w:r w:rsidR="00CC6EA2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métodos</w:t>
      </w:r>
      <w:r w:rsidR="00B85A9A" w:rsidRPr="00A76C3C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estandarizados para que las bibliotecas declaren su conformidad con ODI a los proveedores de contenido, servicios de descubrimiento y otras partes interesadas de la industria</w:t>
      </w:r>
      <w:r w:rsidR="001C0D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.</w:t>
      </w:r>
    </w:p>
    <w:tbl>
      <w:tblPr>
        <w:tblStyle w:val="Tablaconcuadrcula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4322"/>
        <w:gridCol w:w="1418"/>
        <w:gridCol w:w="2918"/>
      </w:tblGrid>
      <w:tr w:rsidR="00BB6524" w:rsidRPr="00A76C3C" w14:paraId="5B4E5171" w14:textId="77777777" w:rsidTr="00CD703A">
        <w:trPr>
          <w:jc w:val="center"/>
        </w:trPr>
        <w:tc>
          <w:tcPr>
            <w:tcW w:w="9576" w:type="dxa"/>
            <w:gridSpan w:val="4"/>
          </w:tcPr>
          <w:bookmarkEnd w:id="0"/>
          <w:p w14:paraId="18F59092" w14:textId="1E249A34" w:rsidR="00BB6524" w:rsidRPr="00A76C3C" w:rsidRDefault="00DD5839" w:rsidP="00BB6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A7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  <w:t>Nombre de la organización</w:t>
            </w:r>
            <w:r w:rsidR="00BB6524" w:rsidRPr="00A7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  <w:t xml:space="preserve">: ____________________________________ </w:t>
            </w:r>
            <w:r w:rsidRPr="00A7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  <w:t>Fecha</w:t>
            </w:r>
            <w:r w:rsidR="00BB6524" w:rsidRPr="00A7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  <w:t>: ___________</w:t>
            </w:r>
          </w:p>
          <w:p w14:paraId="226A1903" w14:textId="646DEDC1" w:rsidR="00BB6524" w:rsidRPr="00A76C3C" w:rsidRDefault="00DD5839" w:rsidP="00BB65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A7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  <w:t>Información de contacto</w:t>
            </w:r>
            <w:r w:rsidR="00BB6524" w:rsidRPr="00A7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  <w:t>: _________________________________________________________</w:t>
            </w:r>
            <w:r w:rsidR="003F28BC" w:rsidRPr="00A7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CL"/>
              </w:rPr>
              <w:br/>
            </w:r>
          </w:p>
        </w:tc>
      </w:tr>
      <w:tr w:rsidR="00BB6524" w:rsidRPr="00A76C3C" w14:paraId="3AB9E6ED" w14:textId="77777777" w:rsidTr="00354B33">
        <w:trPr>
          <w:jc w:val="center"/>
        </w:trPr>
        <w:tc>
          <w:tcPr>
            <w:tcW w:w="918" w:type="dxa"/>
            <w:shd w:val="clear" w:color="auto" w:fill="31849B" w:themeFill="accent5" w:themeFillShade="BF"/>
          </w:tcPr>
          <w:p w14:paraId="66975595" w14:textId="685B605F" w:rsidR="00BB6524" w:rsidRPr="00A76C3C" w:rsidRDefault="002136F0" w:rsidP="002C1E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Y</w:t>
            </w:r>
            <w:r w:rsidR="00BB6524"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/</w:t>
            </w:r>
            <w:r w:rsidR="002C1E72"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P/</w:t>
            </w:r>
            <w:r w:rsidR="00BB6524"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N</w:t>
            </w:r>
          </w:p>
        </w:tc>
        <w:tc>
          <w:tcPr>
            <w:tcW w:w="4322" w:type="dxa"/>
            <w:shd w:val="clear" w:color="auto" w:fill="31849B" w:themeFill="accent5" w:themeFillShade="BF"/>
          </w:tcPr>
          <w:p w14:paraId="56BB26CB" w14:textId="2534831E" w:rsidR="00BB6524" w:rsidRPr="00A76C3C" w:rsidRDefault="00BB6524" w:rsidP="00BB6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</w:pPr>
            <w:r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Recomenda</w:t>
            </w:r>
            <w:r w:rsidR="00F03D32"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ción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64CC28A3" w14:textId="67547FE1" w:rsidR="00BB6524" w:rsidRPr="00A76C3C" w:rsidRDefault="002C1E72" w:rsidP="00BB6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</w:pPr>
            <w:r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Referenc</w:t>
            </w:r>
            <w:r w:rsidR="00F03D32"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ia</w:t>
            </w:r>
          </w:p>
        </w:tc>
        <w:tc>
          <w:tcPr>
            <w:tcW w:w="2918" w:type="dxa"/>
            <w:shd w:val="clear" w:color="auto" w:fill="31849B" w:themeFill="accent5" w:themeFillShade="BF"/>
          </w:tcPr>
          <w:p w14:paraId="073FEED4" w14:textId="2B623F92" w:rsidR="00BB6524" w:rsidRPr="00A76C3C" w:rsidRDefault="00BB6524" w:rsidP="00BB6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</w:pPr>
            <w:r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Com</w:t>
            </w:r>
            <w:r w:rsidR="00F03D32" w:rsidRPr="00A76C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CL"/>
              </w:rPr>
              <w:t>entario</w:t>
            </w:r>
          </w:p>
        </w:tc>
      </w:tr>
      <w:tr w:rsidR="00332921" w:rsidRPr="00A76C3C" w14:paraId="4DEDE21A" w14:textId="77777777" w:rsidTr="00354B33">
        <w:trPr>
          <w:jc w:val="center"/>
        </w:trPr>
        <w:tc>
          <w:tcPr>
            <w:tcW w:w="918" w:type="dxa"/>
          </w:tcPr>
          <w:p w14:paraId="08DCD683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1B1E0CD9" w14:textId="6A4B62E6" w:rsidR="00F03D32" w:rsidRPr="00A76C3C" w:rsidRDefault="00F03D32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La biblioteca designa personas que serán responsables de configurar el servicio de descubrimiento, el resolvedor de enlaces, el proxy y otras herramientas relacionadas con el descubrimiento de contenido suscrito </w:t>
            </w:r>
            <w:r w:rsidR="007E7987"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con</w:t>
            </w: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proveedores de contenido. Las personas designadas deben trabajar o coordinarse entre sí.</w:t>
            </w:r>
          </w:p>
        </w:tc>
        <w:tc>
          <w:tcPr>
            <w:tcW w:w="1418" w:type="dxa"/>
          </w:tcPr>
          <w:p w14:paraId="6ADFAF94" w14:textId="23F11B6A" w:rsidR="00332921" w:rsidRPr="00A76C3C" w:rsidRDefault="00332921" w:rsidP="003329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3.4.1.1 (1)</w:t>
            </w:r>
          </w:p>
        </w:tc>
        <w:tc>
          <w:tcPr>
            <w:tcW w:w="2918" w:type="dxa"/>
          </w:tcPr>
          <w:p w14:paraId="225FBD4C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A76C3C" w14:paraId="25D598E6" w14:textId="77777777" w:rsidTr="00354B33">
        <w:trPr>
          <w:jc w:val="center"/>
        </w:trPr>
        <w:tc>
          <w:tcPr>
            <w:tcW w:w="918" w:type="dxa"/>
          </w:tcPr>
          <w:p w14:paraId="3A07E2F3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5B9A6682" w14:textId="12724F9B" w:rsidR="007E7987" w:rsidRPr="00A76C3C" w:rsidRDefault="007E7987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La biblioteca habilita opciones de enlaces, ranqueo y autenticación disponibles en la herramienta de </w:t>
            </w:r>
            <w:r w:rsidR="00B72E7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</w:t>
            </w: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ervicio de </w:t>
            </w:r>
            <w:r w:rsidR="00B72E7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</w:t>
            </w: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escubrimiento para contenido suscrito de proveedores de contenido, y 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busca aclaraciones</w:t>
            </w: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si es necesario.</w:t>
            </w:r>
          </w:p>
        </w:tc>
        <w:tc>
          <w:tcPr>
            <w:tcW w:w="1418" w:type="dxa"/>
          </w:tcPr>
          <w:p w14:paraId="4D5B6816" w14:textId="126BBEBD" w:rsidR="00332921" w:rsidRPr="00A76C3C" w:rsidRDefault="00332921" w:rsidP="003329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3.4.1.1 (2)</w:t>
            </w:r>
          </w:p>
        </w:tc>
        <w:tc>
          <w:tcPr>
            <w:tcW w:w="2918" w:type="dxa"/>
          </w:tcPr>
          <w:p w14:paraId="46B4EC2F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A76C3C" w14:paraId="4C9BCEA6" w14:textId="77777777" w:rsidTr="00354B33">
        <w:trPr>
          <w:jc w:val="center"/>
        </w:trPr>
        <w:tc>
          <w:tcPr>
            <w:tcW w:w="918" w:type="dxa"/>
          </w:tcPr>
          <w:p w14:paraId="0E577085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4B84644D" w14:textId="1E814311" w:rsidR="007E7987" w:rsidRPr="00A76C3C" w:rsidRDefault="007E7987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La biblioteca documenta decisiones de configuración y las razones detrás de esas decisiones.</w:t>
            </w:r>
          </w:p>
        </w:tc>
        <w:tc>
          <w:tcPr>
            <w:tcW w:w="1418" w:type="dxa"/>
          </w:tcPr>
          <w:p w14:paraId="3108AA7A" w14:textId="7C6473EE" w:rsidR="00332921" w:rsidRPr="00A76C3C" w:rsidRDefault="00332921" w:rsidP="003329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3.4.1.1 (3)</w:t>
            </w:r>
          </w:p>
        </w:tc>
        <w:tc>
          <w:tcPr>
            <w:tcW w:w="2918" w:type="dxa"/>
          </w:tcPr>
          <w:p w14:paraId="3480CF41" w14:textId="3F9BFE0E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A76C3C" w14:paraId="38FDA7A4" w14:textId="77777777" w:rsidTr="00354B33">
        <w:trPr>
          <w:jc w:val="center"/>
        </w:trPr>
        <w:tc>
          <w:tcPr>
            <w:tcW w:w="918" w:type="dxa"/>
          </w:tcPr>
          <w:p w14:paraId="18146EA6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62E587FB" w14:textId="23059D05" w:rsidR="00A76C3C" w:rsidRPr="00A76C3C" w:rsidRDefault="00A76C3C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La biblioteca regularmente evalúa y actualiza sus configuraciones del </w:t>
            </w:r>
            <w:r w:rsidR="00B72E7E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ervicio de </w:t>
            </w:r>
            <w:r w:rsidR="00B72E7E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escubrimiento</w:t>
            </w:r>
          </w:p>
        </w:tc>
        <w:tc>
          <w:tcPr>
            <w:tcW w:w="1418" w:type="dxa"/>
          </w:tcPr>
          <w:p w14:paraId="1A9E926F" w14:textId="2B258BC9" w:rsidR="00332921" w:rsidRPr="00A76C3C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3.4.1.1 (4)</w:t>
            </w:r>
          </w:p>
        </w:tc>
        <w:tc>
          <w:tcPr>
            <w:tcW w:w="2918" w:type="dxa"/>
          </w:tcPr>
          <w:p w14:paraId="50647587" w14:textId="5E6E435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A76C3C" w14:paraId="67CA8128" w14:textId="77777777" w:rsidTr="00354B33">
        <w:trPr>
          <w:jc w:val="center"/>
        </w:trPr>
        <w:tc>
          <w:tcPr>
            <w:tcW w:w="918" w:type="dxa"/>
          </w:tcPr>
          <w:p w14:paraId="7F0673D6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3596D054" w14:textId="4C7C258A" w:rsidR="00A76C3C" w:rsidRPr="00A76C3C" w:rsidRDefault="00A76C3C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La </w:t>
            </w:r>
            <w:r w:rsidR="00BD31F0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iblioteca planifica las actualizaciones del sistema y busca asistencia de los proveedores si es necesario.</w:t>
            </w:r>
          </w:p>
        </w:tc>
        <w:tc>
          <w:tcPr>
            <w:tcW w:w="1418" w:type="dxa"/>
          </w:tcPr>
          <w:p w14:paraId="75C2FC75" w14:textId="2C44F547" w:rsidR="00332921" w:rsidRPr="00A76C3C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3.4.1.2 (1)</w:t>
            </w:r>
          </w:p>
        </w:tc>
        <w:tc>
          <w:tcPr>
            <w:tcW w:w="2918" w:type="dxa"/>
          </w:tcPr>
          <w:p w14:paraId="545BFB74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A76C3C" w14:paraId="39A705F5" w14:textId="77777777" w:rsidTr="00354B33">
        <w:trPr>
          <w:jc w:val="center"/>
        </w:trPr>
        <w:tc>
          <w:tcPr>
            <w:tcW w:w="918" w:type="dxa"/>
          </w:tcPr>
          <w:p w14:paraId="4228AFAF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2DE8987A" w14:textId="08268DC9" w:rsidR="00A76C3C" w:rsidRPr="00A76C3C" w:rsidRDefault="00A76C3C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La biblioteca planifica y documenta los cambios de la herramienta de descubrimiento y busca asistencia de proveedores si es necesario.</w:t>
            </w:r>
          </w:p>
        </w:tc>
        <w:tc>
          <w:tcPr>
            <w:tcW w:w="1418" w:type="dxa"/>
          </w:tcPr>
          <w:p w14:paraId="4F2E5A3C" w14:textId="2B62CAA0" w:rsidR="00332921" w:rsidRPr="00A76C3C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A76C3C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3.4.1.2 (2)</w:t>
            </w:r>
          </w:p>
        </w:tc>
        <w:tc>
          <w:tcPr>
            <w:tcW w:w="2918" w:type="dxa"/>
          </w:tcPr>
          <w:p w14:paraId="40488870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5F9BE798" w14:textId="77777777" w:rsidTr="00354B33">
        <w:trPr>
          <w:jc w:val="center"/>
        </w:trPr>
        <w:tc>
          <w:tcPr>
            <w:tcW w:w="918" w:type="dxa"/>
          </w:tcPr>
          <w:p w14:paraId="171FE6B2" w14:textId="77777777" w:rsidR="00332921" w:rsidRPr="00A76C3C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3DE1F602" w14:textId="05494FB5" w:rsidR="00BD31F0" w:rsidRPr="00425A5E" w:rsidRDefault="00BD31F0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La biblioteca selecciona las colecciones de bases de datos correctas en la herramienta de servicio de descubrimiento para contenido suscrito de proveedores de contenido</w:t>
            </w:r>
            <w:r w:rsidR="00DD58E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,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busca aclaraciones del proveedor del servicio de descubrimiento y del proveedor de contenido cuando es necesario.</w:t>
            </w:r>
          </w:p>
        </w:tc>
        <w:tc>
          <w:tcPr>
            <w:tcW w:w="1418" w:type="dxa"/>
          </w:tcPr>
          <w:p w14:paraId="20A77F2C" w14:textId="0BC544AC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3.4.1.3</w:t>
            </w:r>
          </w:p>
        </w:tc>
        <w:tc>
          <w:tcPr>
            <w:tcW w:w="2918" w:type="dxa"/>
          </w:tcPr>
          <w:p w14:paraId="54C689A8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7DD490C4" w14:textId="77777777" w:rsidTr="00354B33">
        <w:trPr>
          <w:jc w:val="center"/>
        </w:trPr>
        <w:tc>
          <w:tcPr>
            <w:tcW w:w="918" w:type="dxa"/>
          </w:tcPr>
          <w:p w14:paraId="0CF493BB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1DD42A61" w14:textId="6871160E" w:rsidR="00BD31F0" w:rsidRPr="00425A5E" w:rsidRDefault="00BD31F0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La biblioteca trabaja con el proveedor del servicio de descubrimiento para aprender exactamente qu</w:t>
            </w:r>
            <w:r w:rsidR="00695142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é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ajustes, si </w:t>
            </w:r>
            <w:r w:rsidR="006B6E8A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los 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hay, pueden ser hechos al ranqueo de resultados, </w:t>
            </w:r>
            <w:r w:rsidR="006B6E8A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potenciadores y ponderación, y busca aclaraciones cuando es necesario.</w:t>
            </w:r>
          </w:p>
        </w:tc>
        <w:tc>
          <w:tcPr>
            <w:tcW w:w="1418" w:type="dxa"/>
          </w:tcPr>
          <w:p w14:paraId="6F6A7C9D" w14:textId="0A6AA271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3.4.1.4</w:t>
            </w:r>
          </w:p>
        </w:tc>
        <w:tc>
          <w:tcPr>
            <w:tcW w:w="2918" w:type="dxa"/>
          </w:tcPr>
          <w:p w14:paraId="633B87C6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2BA1B3E6" w14:textId="77777777" w:rsidTr="00354B33">
        <w:trPr>
          <w:jc w:val="center"/>
        </w:trPr>
        <w:tc>
          <w:tcPr>
            <w:tcW w:w="918" w:type="dxa"/>
          </w:tcPr>
          <w:p w14:paraId="66FB079A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475F9DE0" w14:textId="614A5A47" w:rsidR="006B6E8A" w:rsidRPr="00425A5E" w:rsidRDefault="006B6E8A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La biblioteca selecciona los paquetes de existencias disponibles en el resolvedor de enlaces para los contenidos suscritos de proveedores de contenidos y busca aclaraciones </w:t>
            </w:r>
            <w:r w:rsidR="005651F4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del proveedor del resolvedor </w:t>
            </w:r>
            <w:r w:rsidR="005651F4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lastRenderedPageBreak/>
              <w:t>de enlaces y del proveedor de contenido cuando es necesario.</w:t>
            </w:r>
          </w:p>
        </w:tc>
        <w:tc>
          <w:tcPr>
            <w:tcW w:w="1418" w:type="dxa"/>
          </w:tcPr>
          <w:p w14:paraId="3A3868AD" w14:textId="724F9A20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lastRenderedPageBreak/>
              <w:t>3.4.1.5 (1)</w:t>
            </w:r>
          </w:p>
        </w:tc>
        <w:tc>
          <w:tcPr>
            <w:tcW w:w="2918" w:type="dxa"/>
          </w:tcPr>
          <w:p w14:paraId="21148792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69099998" w14:textId="77777777" w:rsidTr="00354B33">
        <w:trPr>
          <w:jc w:val="center"/>
        </w:trPr>
        <w:tc>
          <w:tcPr>
            <w:tcW w:w="918" w:type="dxa"/>
          </w:tcPr>
          <w:p w14:paraId="3DC712A7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1923565B" w14:textId="45D2338D" w:rsidR="00332921" w:rsidRPr="00425A5E" w:rsidRDefault="005651F4" w:rsidP="00FB15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La biblioteca evalúa y actualiza regularmente su configuración del resolvedor de enlaces.</w:t>
            </w:r>
          </w:p>
        </w:tc>
        <w:tc>
          <w:tcPr>
            <w:tcW w:w="1418" w:type="dxa"/>
          </w:tcPr>
          <w:p w14:paraId="7BB491AF" w14:textId="269C5265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3.4.1.5 (2)</w:t>
            </w:r>
          </w:p>
        </w:tc>
        <w:tc>
          <w:tcPr>
            <w:tcW w:w="2918" w:type="dxa"/>
          </w:tcPr>
          <w:p w14:paraId="5945E25B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19512B78" w14:textId="77777777" w:rsidTr="00354B33">
        <w:trPr>
          <w:jc w:val="center"/>
        </w:trPr>
        <w:tc>
          <w:tcPr>
            <w:tcW w:w="918" w:type="dxa"/>
          </w:tcPr>
          <w:p w14:paraId="4AC2F8A4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34C98A23" w14:textId="3D10BF9B" w:rsidR="00332921" w:rsidRPr="00425A5E" w:rsidRDefault="005651F4" w:rsidP="00FB15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La biblioteca configura el servidor proxy para los servicios de descubrimiento y el resolvedor de enlaces, y busca aclaraciones si las necesita.</w:t>
            </w:r>
          </w:p>
        </w:tc>
        <w:tc>
          <w:tcPr>
            <w:tcW w:w="1418" w:type="dxa"/>
          </w:tcPr>
          <w:p w14:paraId="32C54366" w14:textId="71E7DDE0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3.4.1.6</w:t>
            </w:r>
          </w:p>
        </w:tc>
        <w:tc>
          <w:tcPr>
            <w:tcW w:w="2918" w:type="dxa"/>
          </w:tcPr>
          <w:p w14:paraId="54B75BFF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21B69A77" w14:textId="77777777" w:rsidTr="00354B33">
        <w:trPr>
          <w:jc w:val="center"/>
        </w:trPr>
        <w:tc>
          <w:tcPr>
            <w:tcW w:w="918" w:type="dxa"/>
          </w:tcPr>
          <w:p w14:paraId="7F69820D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0DAF33BF" w14:textId="184C6364" w:rsidR="00332921" w:rsidRPr="00425A5E" w:rsidRDefault="005651F4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La biblioteca trabaja con proveedores para crear acuerdos detallados </w:t>
            </w:r>
            <w:r w:rsidR="00561F45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sobre </w:t>
            </w:r>
            <w:r w:rsidR="00B72E7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el</w:t>
            </w:r>
            <w:r w:rsidR="00561F45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soporte </w:t>
            </w:r>
            <w:r w:rsidR="00B72E7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que </w:t>
            </w:r>
            <w:r w:rsidR="00561F45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ofrece el proveedor durante y después de la implementación</w:t>
            </w:r>
            <w:r w:rsidR="00332921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.</w:t>
            </w:r>
          </w:p>
        </w:tc>
        <w:tc>
          <w:tcPr>
            <w:tcW w:w="1418" w:type="dxa"/>
          </w:tcPr>
          <w:p w14:paraId="1560E627" w14:textId="296E399E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3.4.2.1</w:t>
            </w:r>
          </w:p>
        </w:tc>
        <w:tc>
          <w:tcPr>
            <w:tcW w:w="2918" w:type="dxa"/>
          </w:tcPr>
          <w:p w14:paraId="416A2FBF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3BB7BF7B" w14:textId="77777777" w:rsidTr="00354B33">
        <w:trPr>
          <w:jc w:val="center"/>
        </w:trPr>
        <w:tc>
          <w:tcPr>
            <w:tcW w:w="918" w:type="dxa"/>
          </w:tcPr>
          <w:p w14:paraId="55EE70D0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376AC776" w14:textId="0ADE8308" w:rsidR="00561F45" w:rsidRPr="00425A5E" w:rsidRDefault="00561F45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La biblioteca verifica y evalúa regularmente </w:t>
            </w:r>
            <w:r w:rsidR="001F0193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as Declaraciones de Conformidad ODI de proveedores de contenido</w:t>
            </w:r>
            <w:r w:rsidR="001F0193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y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proveedores de servicios de descubrimiento</w:t>
            </w:r>
            <w:r w:rsidR="001F0193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,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y las guías de configuración para bibliotecas proporcionadas por los </w:t>
            </w:r>
            <w:r w:rsidR="001F0193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publicadores.</w:t>
            </w:r>
          </w:p>
        </w:tc>
        <w:tc>
          <w:tcPr>
            <w:tcW w:w="1418" w:type="dxa"/>
          </w:tcPr>
          <w:p w14:paraId="1672C2ED" w14:textId="41067D4A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3.4.2.2 (1)</w:t>
            </w:r>
          </w:p>
        </w:tc>
        <w:tc>
          <w:tcPr>
            <w:tcW w:w="2918" w:type="dxa"/>
          </w:tcPr>
          <w:p w14:paraId="4BACB565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2D2A3BD0" w14:textId="77777777" w:rsidTr="00354B33">
        <w:trPr>
          <w:jc w:val="center"/>
        </w:trPr>
        <w:tc>
          <w:tcPr>
            <w:tcW w:w="918" w:type="dxa"/>
          </w:tcPr>
          <w:p w14:paraId="4A79178E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22896E6A" w14:textId="5C33342F" w:rsidR="001F0193" w:rsidRPr="00425A5E" w:rsidRDefault="001F0193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La biblioteca aboga por aumentar la conformidad con ODI </w:t>
            </w:r>
            <w:r w:rsidR="00B72E7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de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los proveedores de contenido y los proveedores de servicios de descubrimiento.</w:t>
            </w:r>
          </w:p>
        </w:tc>
        <w:tc>
          <w:tcPr>
            <w:tcW w:w="1418" w:type="dxa"/>
          </w:tcPr>
          <w:p w14:paraId="0D5DAB75" w14:textId="23075EF2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3.4.2.2 (2)</w:t>
            </w:r>
          </w:p>
        </w:tc>
        <w:tc>
          <w:tcPr>
            <w:tcW w:w="2918" w:type="dxa"/>
          </w:tcPr>
          <w:p w14:paraId="5D875DE6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1F642BC5" w14:textId="77777777" w:rsidTr="00354B33">
        <w:trPr>
          <w:jc w:val="center"/>
        </w:trPr>
        <w:tc>
          <w:tcPr>
            <w:tcW w:w="918" w:type="dxa"/>
          </w:tcPr>
          <w:p w14:paraId="508720C8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6B0170FF" w14:textId="25328815" w:rsidR="001F0193" w:rsidRPr="00425A5E" w:rsidRDefault="001F0193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La biblioteca usa las herramientas entregadas por el proveedor para reportar colecciones de bases de datos p</w:t>
            </w:r>
            <w:r w:rsidR="006A1E18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rdidas, incompletas o incorrectas, primero al proveedor de</w:t>
            </w:r>
            <w:r w:rsidR="006A1E18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</w:t>
            </w:r>
            <w:r w:rsidR="007E676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ervicio de </w:t>
            </w:r>
            <w:r w:rsidR="007E676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escubrimiento y luego al proveedor de contenido.</w:t>
            </w:r>
          </w:p>
        </w:tc>
        <w:tc>
          <w:tcPr>
            <w:tcW w:w="1418" w:type="dxa"/>
          </w:tcPr>
          <w:p w14:paraId="3158C665" w14:textId="27A51095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3.4.2.3</w:t>
            </w:r>
          </w:p>
        </w:tc>
        <w:tc>
          <w:tcPr>
            <w:tcW w:w="2918" w:type="dxa"/>
          </w:tcPr>
          <w:p w14:paraId="35BFEFED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6231B755" w14:textId="77777777" w:rsidTr="00354B33">
        <w:trPr>
          <w:jc w:val="center"/>
        </w:trPr>
        <w:tc>
          <w:tcPr>
            <w:tcW w:w="918" w:type="dxa"/>
          </w:tcPr>
          <w:p w14:paraId="30A05A98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12C04ECA" w14:textId="712FFB3F" w:rsidR="007E676E" w:rsidRPr="00425A5E" w:rsidRDefault="007E676E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La biblioteca desarrolla y ejecuta un programa de entrenamiento de personal, para uno o más miembros del personal, sobre gestión del servicio de descubrimiento, resolvedor de enlaces, proxy, y otras herramientas relacionadas a las herramientas de descubrimiento.</w:t>
            </w:r>
          </w:p>
        </w:tc>
        <w:tc>
          <w:tcPr>
            <w:tcW w:w="1418" w:type="dxa"/>
          </w:tcPr>
          <w:p w14:paraId="769B5F7D" w14:textId="42DB4AD8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bookmarkStart w:id="1" w:name="_Hlk27992864"/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3.4.3.1 (1)</w:t>
            </w:r>
            <w:bookmarkEnd w:id="1"/>
          </w:p>
        </w:tc>
        <w:tc>
          <w:tcPr>
            <w:tcW w:w="2918" w:type="dxa"/>
          </w:tcPr>
          <w:p w14:paraId="41AB42E2" w14:textId="49398B26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04E2F928" w14:textId="77777777" w:rsidTr="00354B33">
        <w:trPr>
          <w:jc w:val="center"/>
        </w:trPr>
        <w:tc>
          <w:tcPr>
            <w:tcW w:w="918" w:type="dxa"/>
          </w:tcPr>
          <w:p w14:paraId="439B7E75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3F4F23D9" w14:textId="18B017E2" w:rsidR="007E676E" w:rsidRPr="00425A5E" w:rsidRDefault="007E676E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La biblioteca entrega sesiones de capacitación a usuarios y personal sobre </w:t>
            </w:r>
            <w:r w:rsidR="00DD58EE" w:rsidRPr="00425A5E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cómo</w:t>
            </w:r>
            <w:r w:rsidRPr="00425A5E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 usar la herramienta de descubrimiento.</w:t>
            </w:r>
          </w:p>
        </w:tc>
        <w:tc>
          <w:tcPr>
            <w:tcW w:w="1418" w:type="dxa"/>
          </w:tcPr>
          <w:p w14:paraId="5A1F1166" w14:textId="0B461222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3.4.3.1 (2) </w:t>
            </w:r>
          </w:p>
        </w:tc>
        <w:tc>
          <w:tcPr>
            <w:tcW w:w="2918" w:type="dxa"/>
          </w:tcPr>
          <w:p w14:paraId="74EB6086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52EF166C" w14:textId="77777777" w:rsidTr="00354B33">
        <w:trPr>
          <w:jc w:val="center"/>
        </w:trPr>
        <w:tc>
          <w:tcPr>
            <w:tcW w:w="918" w:type="dxa"/>
          </w:tcPr>
          <w:p w14:paraId="01AF87E7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45FD5B1F" w14:textId="1BF2FCE7" w:rsidR="007E676E" w:rsidRPr="00425A5E" w:rsidRDefault="007E676E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El personal de la biblioteca lee documentación oficial, anuncios y actualizaciones</w:t>
            </w:r>
            <w:r w:rsidR="002861A0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,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y </w:t>
            </w:r>
            <w:r w:rsidR="00AC3CA2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hace ajustes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relevantes</w:t>
            </w:r>
            <w:r w:rsidR="002861A0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a las configuraciones.</w:t>
            </w:r>
          </w:p>
        </w:tc>
        <w:tc>
          <w:tcPr>
            <w:tcW w:w="1418" w:type="dxa"/>
          </w:tcPr>
          <w:p w14:paraId="239D8291" w14:textId="38F766B7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3.4.3.1 (3)</w:t>
            </w:r>
          </w:p>
        </w:tc>
        <w:tc>
          <w:tcPr>
            <w:tcW w:w="2918" w:type="dxa"/>
          </w:tcPr>
          <w:p w14:paraId="6CA6B809" w14:textId="1E9B5C88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7E02C8BA" w14:textId="77777777" w:rsidTr="00354B33">
        <w:trPr>
          <w:jc w:val="center"/>
        </w:trPr>
        <w:tc>
          <w:tcPr>
            <w:tcW w:w="918" w:type="dxa"/>
          </w:tcPr>
          <w:p w14:paraId="1B6CF38A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3DC7BB1E" w14:textId="5B6ADE19" w:rsidR="002861A0" w:rsidRPr="00425A5E" w:rsidRDefault="002861A0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Personal de las bibliotecas se une a </w:t>
            </w:r>
            <w:r w:rsidR="00C95656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comunidades en línea (listas de interés y foros) de los proveedores de servicio de descubrimiento, participa en diálogos, ofrece ideas y sugerencias, y comparte aproximaciones innovadoras creadas o implementadas.</w:t>
            </w:r>
          </w:p>
        </w:tc>
        <w:tc>
          <w:tcPr>
            <w:tcW w:w="1418" w:type="dxa"/>
          </w:tcPr>
          <w:p w14:paraId="32623A67" w14:textId="7E89830B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3.4.3.1 (4) </w:t>
            </w:r>
          </w:p>
        </w:tc>
        <w:tc>
          <w:tcPr>
            <w:tcW w:w="2918" w:type="dxa"/>
          </w:tcPr>
          <w:p w14:paraId="7D674659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  <w:tr w:rsidR="00332921" w:rsidRPr="00425A5E" w14:paraId="6F4DF0FD" w14:textId="77777777" w:rsidTr="00354B33">
        <w:trPr>
          <w:jc w:val="center"/>
        </w:trPr>
        <w:tc>
          <w:tcPr>
            <w:tcW w:w="918" w:type="dxa"/>
          </w:tcPr>
          <w:p w14:paraId="4CAA4E2B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322" w:type="dxa"/>
          </w:tcPr>
          <w:p w14:paraId="3C85AC8D" w14:textId="4F34B386" w:rsidR="00C95656" w:rsidRPr="00425A5E" w:rsidRDefault="00C95656" w:rsidP="00FB15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El personal de la biblioteca </w:t>
            </w:r>
            <w:r w:rsidR="00BB1CC9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de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licenciamiento, recursos electrónicos, sistemas y servicios al usuario se reúne regularmente para discutir sobre el servicio de descubrimiento, resolvedor de enlaces, servidor proxy, y otr</w:t>
            </w:r>
            <w:r w:rsidR="00B72E7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 herramient</w:t>
            </w:r>
            <w:r w:rsidR="00B72E7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s relacionadas </w:t>
            </w:r>
            <w:r w:rsidR="00B72E7E"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con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 descubrimiento de contenido suscrito.</w:t>
            </w:r>
          </w:p>
        </w:tc>
        <w:tc>
          <w:tcPr>
            <w:tcW w:w="1418" w:type="dxa"/>
          </w:tcPr>
          <w:p w14:paraId="6F396A65" w14:textId="01461AE9" w:rsidR="00332921" w:rsidRPr="00425A5E" w:rsidRDefault="00332921" w:rsidP="00332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3.4.3.2</w:t>
            </w:r>
            <w:r w:rsidRPr="00425A5E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br/>
            </w:r>
          </w:p>
        </w:tc>
        <w:tc>
          <w:tcPr>
            <w:tcW w:w="2918" w:type="dxa"/>
          </w:tcPr>
          <w:p w14:paraId="08B3A858" w14:textId="77777777" w:rsidR="00332921" w:rsidRPr="00425A5E" w:rsidRDefault="00332921" w:rsidP="003329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val="es-CL"/>
              </w:rPr>
            </w:pPr>
          </w:p>
        </w:tc>
      </w:tr>
    </w:tbl>
    <w:p w14:paraId="5D5A1DC6" w14:textId="0336576C" w:rsidR="00FB15F0" w:rsidRDefault="00FB15F0" w:rsidP="009E54A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</w:p>
    <w:p w14:paraId="56C46A3A" w14:textId="482C226A" w:rsidR="00D361FF" w:rsidRDefault="00D361FF" w:rsidP="009E54A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</w:p>
    <w:p w14:paraId="06E911FA" w14:textId="7F5790C7" w:rsidR="00DE075F" w:rsidRPr="00425A5E" w:rsidRDefault="00DE075F" w:rsidP="009E54A5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r w:rsidRPr="00425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lastRenderedPageBreak/>
        <w:t>Instruc</w:t>
      </w:r>
      <w:r w:rsidR="002136F0" w:rsidRPr="00425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ciones</w:t>
      </w:r>
    </w:p>
    <w:p w14:paraId="51C51E81" w14:textId="29495806" w:rsidR="00332921" w:rsidRPr="00425A5E" w:rsidRDefault="00332921" w:rsidP="00FB1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bookmarkStart w:id="2" w:name="_Hlk94798946"/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Complet</w:t>
      </w:r>
      <w:r w:rsidR="002136F0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ar esta lista de verificación requiere agregar las siguientes respuestas a la primera columna de la lista anterior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:</w:t>
      </w:r>
    </w:p>
    <w:p w14:paraId="12301754" w14:textId="1DE3F776" w:rsidR="00332921" w:rsidRPr="00425A5E" w:rsidRDefault="00332921" w:rsidP="00FB15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"Y" (</w:t>
      </w:r>
      <w:r w:rsidR="002136F0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para Si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) indica</w:t>
      </w:r>
      <w:r w:rsidR="002136F0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conformidad con lo i</w:t>
      </w:r>
      <w:r w:rsidR="00F83D60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ndicado en el párrafo de esta práctica recomendada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.</w:t>
      </w:r>
    </w:p>
    <w:p w14:paraId="59FBAA89" w14:textId="04B1E4F2" w:rsidR="00332921" w:rsidRPr="00425A5E" w:rsidRDefault="00332921" w:rsidP="00FB15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"P" (</w:t>
      </w:r>
      <w:r w:rsidR="00F83D60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para parcial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) indica</w:t>
      </w:r>
      <w:r w:rsidR="00F83D60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conformidad parcial, se debe ingresar un comentario explicativo en la última columna. </w:t>
      </w:r>
    </w:p>
    <w:p w14:paraId="26CA2C61" w14:textId="0864F60E" w:rsidR="00332921" w:rsidRPr="000A2F53" w:rsidRDefault="00332921" w:rsidP="00FB15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"N" (</w:t>
      </w:r>
      <w:r w:rsidR="00F83D60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para </w:t>
      </w:r>
      <w:r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No) indica</w:t>
      </w:r>
      <w:r w:rsidR="00F83D60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que </w:t>
      </w:r>
      <w:r w:rsidR="00F83D60" w:rsidRPr="00FB15F0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el proveedor de contenido</w:t>
      </w:r>
      <w:r w:rsidR="00F83D60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no tiene conformidad con la recomendación. Se </w:t>
      </w:r>
      <w:r w:rsidR="008D633E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puede</w:t>
      </w:r>
      <w:r w:rsidR="00F83D60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agregar un comentario explicativo </w:t>
      </w:r>
      <w:r w:rsidR="008D633E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para </w:t>
      </w:r>
      <w:r w:rsidR="002205EC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cualquier</w:t>
      </w:r>
      <w:r w:rsidR="008D633E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respuest</w:t>
      </w:r>
      <w:r w:rsidR="002205EC" w:rsidRPr="000A2F53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a.</w:t>
      </w:r>
    </w:p>
    <w:p w14:paraId="2CA7559D" w14:textId="36ADC9CC" w:rsidR="008D633E" w:rsidRPr="00425A5E" w:rsidRDefault="008D633E" w:rsidP="00FB1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bookmarkStart w:id="3" w:name="_Hlk94798997"/>
      <w:bookmarkEnd w:id="2"/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Este documento puede ser reformateado como sea necesario y publicado en distintos tipos de archivo. Para cada recomendación, se ofrecen antecedentes adicionales en las secciones referenciadas de las practicas recomendadas.  Detalles adicionales, comentarios y materiales también s</w:t>
      </w:r>
      <w:r w:rsidR="00B00675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on deseables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en la última columna, pero no son requ</w:t>
      </w:r>
      <w:r w:rsidR="00B00675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eridos. Si tiene consultas o necesita ayuda, por favor contacte a </w:t>
      </w:r>
      <w:hyperlink r:id="rId9" w:history="1">
        <w:r w:rsidR="00B00675" w:rsidRPr="00425A5E">
          <w:rPr>
            <w:rStyle w:val="Hipervnculo"/>
            <w:rFonts w:ascii="Times New Roman" w:eastAsia="Times New Roman" w:hAnsi="Times New Roman" w:cs="Times New Roman"/>
            <w:sz w:val="20"/>
            <w:szCs w:val="20"/>
            <w:lang w:val="es-CL"/>
          </w:rPr>
          <w:t>odi@niso.org</w:t>
        </w:r>
      </w:hyperlink>
      <w:r w:rsidR="00B00675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.</w:t>
      </w:r>
    </w:p>
    <w:bookmarkEnd w:id="3"/>
    <w:p w14:paraId="2434547E" w14:textId="5ACDFD51" w:rsidR="00DE075F" w:rsidRPr="00425A5E" w:rsidRDefault="00A36EC9" w:rsidP="00FB15F0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es-CL"/>
        </w:rPr>
      </w:pPr>
      <w:r w:rsidRPr="00425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Alcance</w:t>
      </w:r>
    </w:p>
    <w:p w14:paraId="1F6A107B" w14:textId="335AFA86" w:rsidR="00332921" w:rsidRPr="00425A5E" w:rsidRDefault="00A36EC9" w:rsidP="00D361F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Bibliotecas son organizaciones que ofrecen a los usuarios acceso a la información por medio de una solución web, que refleja la colección completa de la biblioteca en la mayor medida posible</w:t>
      </w:r>
      <w:r w:rsidR="00354B33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,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para que los usuarios puedan buscar en </w:t>
      </w:r>
      <w:r w:rsidR="007B5262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todo el contenido ofrecido por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la biblioteca. </w:t>
      </w:r>
    </w:p>
    <w:p w14:paraId="1DD3C81F" w14:textId="445924E4" w:rsidR="006408DE" w:rsidRPr="00425A5E" w:rsidRDefault="006408DE" w:rsidP="00FB15F0">
      <w:pP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</w:pPr>
      <w:bookmarkStart w:id="4" w:name="_Hlk94799637"/>
      <w:r w:rsidRPr="00425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A</w:t>
      </w:r>
      <w:r w:rsidR="005E1D1E" w:rsidRPr="00425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CL"/>
        </w:rPr>
        <w:t>cerca de la Iniciativa de Descubrimiento Abierto</w:t>
      </w:r>
    </w:p>
    <w:p w14:paraId="3FB6251D" w14:textId="48BF334A" w:rsidR="00DD0C11" w:rsidRPr="00425A5E" w:rsidRDefault="008A791D" w:rsidP="00D361F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Bajo el alero de</w:t>
      </w:r>
      <w:r w:rsidR="00DD0C1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la </w:t>
      </w:r>
      <w:proofErr w:type="spellStart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National</w:t>
      </w:r>
      <w:proofErr w:type="spellEnd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</w:t>
      </w:r>
      <w:proofErr w:type="spellStart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Information</w:t>
      </w:r>
      <w:proofErr w:type="spellEnd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</w:t>
      </w:r>
      <w:proofErr w:type="spellStart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Standards</w:t>
      </w:r>
      <w:proofErr w:type="spellEnd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</w:t>
      </w:r>
      <w:proofErr w:type="spellStart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Organization</w:t>
      </w:r>
      <w:proofErr w:type="spellEnd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(NISO), </w:t>
      </w:r>
      <w:r w:rsidR="00DD0C1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la Iniciativa de Descubrimiento Abierto (</w:t>
      </w:r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Open Discovery </w:t>
      </w:r>
      <w:proofErr w:type="spellStart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Initiative</w:t>
      </w:r>
      <w:proofErr w:type="spellEnd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(ODI)</w:t>
      </w:r>
      <w:r w:rsidR="00DD0C1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) busca definir normas y/o </w:t>
      </w:r>
      <w:r w:rsidR="00867E5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buena</w:t>
      </w:r>
      <w:r w:rsidR="00DD0C1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s prácticas para la nueva generación de servicios de descubrimiento de bibliotecas que están basados en búsquedas indexadas.  Es</w:t>
      </w:r>
      <w:r w:rsidR="000156D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t</w:t>
      </w:r>
      <w:r w:rsidR="00DD0C1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os servicios de descubrimiento están basados principalmente en índices derivados de revistas, libros electrónicos y otra información electrónica de naturaleza académica. El contenido </w:t>
      </w:r>
      <w:r w:rsidR="00354B33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pro</w:t>
      </w:r>
      <w:r w:rsidR="00DD0C1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viene de un</w:t>
      </w:r>
      <w:r w:rsidR="00B00C25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a </w:t>
      </w:r>
      <w:r w:rsidR="00354B33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amplia </w:t>
      </w:r>
      <w:r w:rsidR="00B00C25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gama </w:t>
      </w:r>
      <w:r w:rsidR="00DD0C1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de proveedores de información</w:t>
      </w:r>
      <w:r w:rsidR="007F1A0D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y de productos – comerciales, acceso abierto, institucional, etc.</w:t>
      </w:r>
    </w:p>
    <w:p w14:paraId="6C4893B4" w14:textId="56A7DDE7" w:rsidR="00B00C25" w:rsidRPr="00425A5E" w:rsidRDefault="00B00C25" w:rsidP="00D361F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Dado el creciente interés y actividad </w:t>
      </w:r>
      <w:r w:rsidR="00BA526F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en las interacciones entre proveedores de información y servicios de descubrimiento, se requiere un conjunto de prácticas más estandarizadas para las formas en que el contenido se representa en los servicios de descubrimiento y para las interacciones entre los creadores de es</w:t>
      </w:r>
      <w:r w:rsidR="000156D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t</w:t>
      </w:r>
      <w:r w:rsidR="00BA526F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os servicios y los proveedores de información cuyos recursos representan.</w:t>
      </w:r>
    </w:p>
    <w:p w14:paraId="5D1042FF" w14:textId="092D519D" w:rsidR="000D06FB" w:rsidRPr="00425A5E" w:rsidRDefault="00BA526F" w:rsidP="00D361F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La Practica Recomendada fue creada por miembros del 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G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rupo de 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T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rabajo ODI</w:t>
      </w:r>
      <w:r w:rsidR="007D24F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, que completó su trabajo en junio 2014 con la publicación de NISO RP-19-2014. NISO constituyó un nuevo Comité Permanente de la Iniciativa de Descubrimiento Abierto (</w:t>
      </w:r>
      <w:hyperlink r:id="rId10" w:history="1">
        <w:r w:rsidR="007D24F1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Open Discovery </w:t>
        </w:r>
        <w:proofErr w:type="spellStart"/>
        <w:r w:rsidR="007D24F1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Initiative</w:t>
        </w:r>
        <w:proofErr w:type="spellEnd"/>
        <w:r w:rsidR="007D24F1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 Standing Committee</w:t>
        </w:r>
      </w:hyperlink>
      <w:r w:rsidR="000D06FB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), 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tras</w:t>
      </w:r>
      <w:r w:rsidR="000D06FB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la aprobación de la Pr</w:t>
      </w:r>
      <w:r w:rsidR="000156D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á</w:t>
      </w:r>
      <w:r w:rsidR="000D06FB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ctica Recomendada ODI. Este Comité ha trabajado para facilitar la adopción de los principios de la Práctica Recomendada y promover la adopción de la</w:t>
      </w:r>
      <w:r w:rsidR="003776A3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s</w:t>
      </w:r>
      <w:r w:rsidR="000D06FB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declaraci</w:t>
      </w:r>
      <w:r w:rsidR="003776A3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ones</w:t>
      </w:r>
      <w:r w:rsidR="000D06FB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de conformidad de proveedores de servicios de descubrimiento y de contenidos. El comité ha extendido el trabajo del Grupo de Trabajo ODI realizando encuestas adicionales dirigidas a proveedores de contenidos, proveedores de servicios de descubrimiento y a bibliotecas para re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unir da</w:t>
      </w:r>
      <w:r w:rsidR="003776A3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t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os más extensivos y recientes respecto al ambiente de descubrimient</w:t>
      </w:r>
      <w:r w:rsidR="003776A3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o 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de contenidos y para identificar interés en mejoras a la Práctica Recomendada. Informado por esas respuestas de la encuesta, el Co</w:t>
      </w:r>
      <w:r w:rsidR="000156D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m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ité </w:t>
      </w:r>
      <w:r w:rsidR="000156D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</w:t>
      </w:r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ermanente ODI ha desarrollado una revisión a la Práctica Recomendada </w:t>
      </w:r>
      <w:hyperlink r:id="rId11" w:history="1">
        <w:r w:rsidR="00FA0FD8" w:rsidRPr="00425A5E">
          <w:rPr>
            <w:lang w:val="es-CL"/>
          </w:rPr>
          <w:t>(</w:t>
        </w:r>
        <w:proofErr w:type="spellStart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revision</w:t>
        </w:r>
        <w:proofErr w:type="spellEnd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 </w:t>
        </w:r>
        <w:proofErr w:type="spellStart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to</w:t>
        </w:r>
        <w:proofErr w:type="spellEnd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 </w:t>
        </w:r>
        <w:proofErr w:type="spellStart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the</w:t>
        </w:r>
        <w:proofErr w:type="spellEnd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 </w:t>
        </w:r>
        <w:proofErr w:type="spellStart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Recommended</w:t>
        </w:r>
        <w:proofErr w:type="spellEnd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 </w:t>
        </w:r>
        <w:proofErr w:type="spellStart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Practice</w:t>
        </w:r>
        <w:proofErr w:type="spellEnd"/>
        <w:r w:rsidR="00FA0FD8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, NISO RP-19-2020</w:t>
        </w:r>
      </w:hyperlink>
      <w:r w:rsidR="00FA0FD8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).</w:t>
      </w:r>
    </w:p>
    <w:p w14:paraId="62B59EB3" w14:textId="64DCBA4A" w:rsidR="00332921" w:rsidRPr="00425A5E" w:rsidRDefault="003776A3" w:rsidP="00D361FF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El Comité </w:t>
      </w:r>
      <w:r w:rsidR="00867E5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Permanente ODI</w:t>
      </w:r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se encarga de las siguientes tareas</w:t>
      </w:r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:</w:t>
      </w:r>
    </w:p>
    <w:p w14:paraId="0C762A31" w14:textId="3F82F075" w:rsidR="003776A3" w:rsidRPr="00425A5E" w:rsidRDefault="003776A3" w:rsidP="00D361FF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Promoción y educación de Práctica Recomendada ODI para tod</w:t>
      </w:r>
      <w:r w:rsidR="00203F49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as las partes involucradas.</w:t>
      </w:r>
    </w:p>
    <w:p w14:paraId="47B0641E" w14:textId="26F19DE9" w:rsidR="003776A3" w:rsidRPr="00425A5E" w:rsidRDefault="003776A3" w:rsidP="00D36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Apoyo para proveedores de contenido y proveedores de servicios de descubrimiento durante la adopción y finalización de la lista de verificación</w:t>
      </w:r>
      <w:r w:rsidR="00203F49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de conformidad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.</w:t>
      </w:r>
    </w:p>
    <w:p w14:paraId="20FBC051" w14:textId="5AA75BAF" w:rsidR="003776A3" w:rsidRPr="00425A5E" w:rsidRDefault="00203F49" w:rsidP="00D36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Proveer un foro para discusión continúa relacionada a todos los aspectos de plataformas de descubrimiento para todas las partes interesadas. </w:t>
      </w:r>
    </w:p>
    <w:p w14:paraId="6175306C" w14:textId="01396AFC" w:rsidR="00203F49" w:rsidRPr="00425A5E" w:rsidRDefault="00203F49" w:rsidP="00D361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Identificar necesidades emergentes en el espacio de descubrimiento abierto y determinar cursos de acción apropiados.</w:t>
      </w:r>
    </w:p>
    <w:p w14:paraId="044FD556" w14:textId="71B260A3" w:rsidR="0042249D" w:rsidRPr="00425A5E" w:rsidRDefault="00203F49" w:rsidP="00D361F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Hacer recomendaciones al </w:t>
      </w:r>
      <w:r w:rsidR="00D13684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c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omité temático IDI</w:t>
      </w:r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(</w:t>
      </w:r>
      <w:proofErr w:type="spellStart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Information</w:t>
      </w:r>
      <w:proofErr w:type="spellEnd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Discovery &amp; </w:t>
      </w:r>
      <w:proofErr w:type="spellStart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Interchange</w:t>
      </w:r>
      <w:proofErr w:type="spellEnd"/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) 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sobre </w:t>
      </w:r>
      <w:r w:rsidR="001F0C6B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futuros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</w:t>
      </w:r>
      <w:r w:rsidR="0042249D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elementos de trabajo necesarios para cumplir con los objetivos de la Iniciativa de Descubrimiento Abierto</w:t>
      </w:r>
    </w:p>
    <w:p w14:paraId="22B944DC" w14:textId="592CE3BB" w:rsidR="006408DE" w:rsidRPr="00A76C3C" w:rsidRDefault="0042249D" w:rsidP="00D361FF">
      <w:pPr>
        <w:spacing w:before="12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</w:pP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Para aprender más acerca de Conformidad ODI</w:t>
      </w:r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, visit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e el sitio </w:t>
      </w:r>
      <w:hyperlink r:id="rId12" w:history="1">
        <w:r w:rsidR="00332921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Open Discovery </w:t>
        </w:r>
        <w:proofErr w:type="spellStart"/>
        <w:r w:rsidR="00332921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Initiative</w:t>
        </w:r>
        <w:proofErr w:type="spellEnd"/>
        <w:r w:rsidR="00332921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 xml:space="preserve"> </w:t>
        </w:r>
      </w:hyperlink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 </w:t>
      </w:r>
      <w:r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 xml:space="preserve">y descargue la norma </w:t>
      </w:r>
      <w:hyperlink r:id="rId13" w:history="1">
        <w:r w:rsidR="00332921" w:rsidRPr="00425A5E">
          <w:rPr>
            <w:rStyle w:val="Hipervnculo"/>
            <w:rFonts w:ascii="Times New Roman" w:hAnsi="Times New Roman" w:cs="Times New Roman"/>
            <w:sz w:val="20"/>
            <w:szCs w:val="20"/>
            <w:lang w:val="es-CL"/>
          </w:rPr>
          <w:t>NISO RP-19-2020</w:t>
        </w:r>
      </w:hyperlink>
      <w:r w:rsidR="00332921" w:rsidRPr="00425A5E">
        <w:rPr>
          <w:rFonts w:ascii="Times New Roman" w:eastAsia="Times New Roman" w:hAnsi="Times New Roman" w:cs="Times New Roman"/>
          <w:color w:val="000000"/>
          <w:sz w:val="20"/>
          <w:szCs w:val="20"/>
          <w:lang w:val="es-CL"/>
        </w:rPr>
        <w:t>.</w:t>
      </w:r>
      <w:bookmarkEnd w:id="4"/>
    </w:p>
    <w:sectPr w:rsidR="006408DE" w:rsidRPr="00A76C3C" w:rsidSect="00D361FF">
      <w:headerReference w:type="default" r:id="rId14"/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8501" w14:textId="77777777" w:rsidR="00B84498" w:rsidRDefault="00B84498" w:rsidP="0069507E">
      <w:pPr>
        <w:spacing w:after="0" w:line="240" w:lineRule="auto"/>
      </w:pPr>
      <w:r>
        <w:separator/>
      </w:r>
    </w:p>
  </w:endnote>
  <w:endnote w:type="continuationSeparator" w:id="0">
    <w:p w14:paraId="6D8AF2DB" w14:textId="77777777" w:rsidR="00B84498" w:rsidRDefault="00B84498" w:rsidP="0069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0358" w14:textId="77777777" w:rsidR="00B84498" w:rsidRDefault="00B84498" w:rsidP="0069507E">
      <w:pPr>
        <w:spacing w:after="0" w:line="240" w:lineRule="auto"/>
      </w:pPr>
      <w:r>
        <w:separator/>
      </w:r>
    </w:p>
  </w:footnote>
  <w:footnote w:type="continuationSeparator" w:id="0">
    <w:p w14:paraId="27CA188E" w14:textId="77777777" w:rsidR="00B84498" w:rsidRDefault="00B84498" w:rsidP="0069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8ECE" w14:textId="63388810" w:rsidR="0069507E" w:rsidRDefault="00443DA4" w:rsidP="00443DA4">
    <w:pPr>
      <w:pStyle w:val="Encabezado"/>
      <w:jc w:val="right"/>
    </w:pPr>
    <w:r>
      <w:rPr>
        <w:noProof/>
      </w:rPr>
      <w:drawing>
        <wp:anchor distT="0" distB="0" distL="0" distR="0" simplePos="0" relativeHeight="251658240" behindDoc="0" locked="0" layoutInCell="1" allowOverlap="0" wp14:anchorId="6EF01621" wp14:editId="3E3F1544">
          <wp:simplePos x="0" y="0"/>
          <wp:positionH relativeFrom="column">
            <wp:posOffset>371475</wp:posOffset>
          </wp:positionH>
          <wp:positionV relativeFrom="line">
            <wp:posOffset>-142875</wp:posOffset>
          </wp:positionV>
          <wp:extent cx="1114425" cy="1005840"/>
          <wp:effectExtent l="0" t="0" r="9525" b="3810"/>
          <wp:wrapSquare wrapText="bothSides"/>
          <wp:docPr id="17" name="Picture 2" descr="O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A78F6" wp14:editId="0AC8A841">
          <wp:extent cx="2028825" cy="885825"/>
          <wp:effectExtent l="0" t="0" r="9525" b="9525"/>
          <wp:docPr id="18" name="Picture 3" descr="NISO How the information world CONN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ISO How the information world CONNEC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676EB"/>
    <w:multiLevelType w:val="multilevel"/>
    <w:tmpl w:val="C822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A30E2"/>
    <w:multiLevelType w:val="multilevel"/>
    <w:tmpl w:val="19F2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DE"/>
    <w:rsid w:val="000156D4"/>
    <w:rsid w:val="000361C7"/>
    <w:rsid w:val="00053DC5"/>
    <w:rsid w:val="000811FF"/>
    <w:rsid w:val="000A2F53"/>
    <w:rsid w:val="000D06FB"/>
    <w:rsid w:val="00121A03"/>
    <w:rsid w:val="001476F6"/>
    <w:rsid w:val="00162858"/>
    <w:rsid w:val="00195A35"/>
    <w:rsid w:val="001A08F9"/>
    <w:rsid w:val="001C0D53"/>
    <w:rsid w:val="001F0193"/>
    <w:rsid w:val="001F0C6B"/>
    <w:rsid w:val="00203F49"/>
    <w:rsid w:val="002136F0"/>
    <w:rsid w:val="002205EC"/>
    <w:rsid w:val="00220D7B"/>
    <w:rsid w:val="00241025"/>
    <w:rsid w:val="002861A0"/>
    <w:rsid w:val="002C1E72"/>
    <w:rsid w:val="002D03A3"/>
    <w:rsid w:val="00304AD8"/>
    <w:rsid w:val="00332921"/>
    <w:rsid w:val="00354B33"/>
    <w:rsid w:val="00375CFE"/>
    <w:rsid w:val="003776A3"/>
    <w:rsid w:val="00390747"/>
    <w:rsid w:val="003A5721"/>
    <w:rsid w:val="003C154F"/>
    <w:rsid w:val="003C3A39"/>
    <w:rsid w:val="003C5078"/>
    <w:rsid w:val="003F28BC"/>
    <w:rsid w:val="003F3A11"/>
    <w:rsid w:val="0042249D"/>
    <w:rsid w:val="00425A5E"/>
    <w:rsid w:val="00443DA4"/>
    <w:rsid w:val="00554452"/>
    <w:rsid w:val="00561F45"/>
    <w:rsid w:val="005651F4"/>
    <w:rsid w:val="005916FE"/>
    <w:rsid w:val="005B1BD5"/>
    <w:rsid w:val="005E1D1E"/>
    <w:rsid w:val="0062325D"/>
    <w:rsid w:val="006408DE"/>
    <w:rsid w:val="0069507E"/>
    <w:rsid w:val="00695142"/>
    <w:rsid w:val="006A1E18"/>
    <w:rsid w:val="006B60E1"/>
    <w:rsid w:val="006B6E8A"/>
    <w:rsid w:val="006B7999"/>
    <w:rsid w:val="007138B2"/>
    <w:rsid w:val="007746F2"/>
    <w:rsid w:val="00786755"/>
    <w:rsid w:val="007901AA"/>
    <w:rsid w:val="00795C23"/>
    <w:rsid w:val="007A0229"/>
    <w:rsid w:val="007B5262"/>
    <w:rsid w:val="007D24F1"/>
    <w:rsid w:val="007E676E"/>
    <w:rsid w:val="007E7987"/>
    <w:rsid w:val="007F1A0D"/>
    <w:rsid w:val="008106D3"/>
    <w:rsid w:val="0081446D"/>
    <w:rsid w:val="00867E54"/>
    <w:rsid w:val="008A791D"/>
    <w:rsid w:val="008D633E"/>
    <w:rsid w:val="008E02D2"/>
    <w:rsid w:val="00964A2F"/>
    <w:rsid w:val="009651CC"/>
    <w:rsid w:val="009E06B9"/>
    <w:rsid w:val="009E54A5"/>
    <w:rsid w:val="00A36EC9"/>
    <w:rsid w:val="00A76C3C"/>
    <w:rsid w:val="00AC3CA2"/>
    <w:rsid w:val="00AE7875"/>
    <w:rsid w:val="00B00675"/>
    <w:rsid w:val="00B00C25"/>
    <w:rsid w:val="00B72E7E"/>
    <w:rsid w:val="00B84498"/>
    <w:rsid w:val="00B85A9A"/>
    <w:rsid w:val="00B86BDC"/>
    <w:rsid w:val="00B9168D"/>
    <w:rsid w:val="00BA526F"/>
    <w:rsid w:val="00BB1CC9"/>
    <w:rsid w:val="00BB58AF"/>
    <w:rsid w:val="00BB6524"/>
    <w:rsid w:val="00BD31F0"/>
    <w:rsid w:val="00BF0681"/>
    <w:rsid w:val="00C442ED"/>
    <w:rsid w:val="00C64C9A"/>
    <w:rsid w:val="00C929F8"/>
    <w:rsid w:val="00C95656"/>
    <w:rsid w:val="00CC6EA2"/>
    <w:rsid w:val="00CD703A"/>
    <w:rsid w:val="00CE4DFC"/>
    <w:rsid w:val="00D02DA1"/>
    <w:rsid w:val="00D13684"/>
    <w:rsid w:val="00D361FF"/>
    <w:rsid w:val="00D71C3C"/>
    <w:rsid w:val="00D94219"/>
    <w:rsid w:val="00DB039B"/>
    <w:rsid w:val="00DD0C11"/>
    <w:rsid w:val="00DD5839"/>
    <w:rsid w:val="00DD58EE"/>
    <w:rsid w:val="00DD7030"/>
    <w:rsid w:val="00DE075F"/>
    <w:rsid w:val="00E34384"/>
    <w:rsid w:val="00E8223F"/>
    <w:rsid w:val="00EA2C02"/>
    <w:rsid w:val="00EB0D01"/>
    <w:rsid w:val="00EB3992"/>
    <w:rsid w:val="00F03D32"/>
    <w:rsid w:val="00F11988"/>
    <w:rsid w:val="00F62447"/>
    <w:rsid w:val="00F83D60"/>
    <w:rsid w:val="00F90B19"/>
    <w:rsid w:val="00FA0FD8"/>
    <w:rsid w:val="00FA6A11"/>
    <w:rsid w:val="00FB15F0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C8AB7"/>
  <w15:docId w15:val="{811BE4C2-791B-2C43-91DF-5995C7D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40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640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08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6408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08DE"/>
  </w:style>
  <w:style w:type="character" w:styleId="Hipervnculo">
    <w:name w:val="Hyperlink"/>
    <w:basedOn w:val="Fuentedeprrafopredeter"/>
    <w:uiPriority w:val="99"/>
    <w:unhideWhenUsed/>
    <w:rsid w:val="006408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408DE"/>
    <w:rPr>
      <w:b/>
      <w:bCs/>
    </w:rPr>
  </w:style>
  <w:style w:type="table" w:styleId="Tablaconcuadrcula">
    <w:name w:val="Table Grid"/>
    <w:basedOn w:val="Tablanormal"/>
    <w:uiPriority w:val="59"/>
    <w:rsid w:val="008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E78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875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875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8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8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87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07E"/>
  </w:style>
  <w:style w:type="paragraph" w:styleId="Piedepgina">
    <w:name w:val="footer"/>
    <w:basedOn w:val="Normal"/>
    <w:link w:val="PiedepginaCar"/>
    <w:uiPriority w:val="99"/>
    <w:unhideWhenUsed/>
    <w:rsid w:val="0069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07E"/>
  </w:style>
  <w:style w:type="paragraph" w:styleId="Prrafodelista">
    <w:name w:val="List Paragraph"/>
    <w:basedOn w:val="Normal"/>
    <w:uiPriority w:val="34"/>
    <w:qFormat/>
    <w:rsid w:val="00443DA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8675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o.org/standards-committees/odi/" TargetMode="External"/><Relationship Id="rId13" Type="http://schemas.openxmlformats.org/officeDocument/2006/relationships/hyperlink" Target="https://www.niso.org/publications/rp-19-2020-o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so.org/standards-committees/o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so.org/publications/rp-19-2020-o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so.org/standards-committees/od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i@niso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6DC4-AA8E-E644-99C6-B4EFB482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1478</Words>
  <Characters>8134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Zhu</dc:creator>
  <cp:lastModifiedBy>Maribel Alvarado</cp:lastModifiedBy>
  <cp:revision>11</cp:revision>
  <cp:lastPrinted>2015-04-29T18:27:00Z</cp:lastPrinted>
  <dcterms:created xsi:type="dcterms:W3CDTF">2022-01-26T20:00:00Z</dcterms:created>
  <dcterms:modified xsi:type="dcterms:W3CDTF">2022-02-03T20:07:00Z</dcterms:modified>
</cp:coreProperties>
</file>